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A0A91">
      <w:pPr>
        <w:keepNext w:val="0"/>
        <w:keepLines w:val="0"/>
        <w:pageBreakBefore w:val="0"/>
        <w:widowControl/>
        <w:kinsoku/>
        <w:wordWrap/>
        <w:overflowPunct/>
        <w:topLinePunct w:val="0"/>
        <w:autoSpaceDE/>
        <w:bidi w:val="0"/>
        <w:adjustRightInd w:val="0"/>
        <w:spacing w:line="560" w:lineRule="exact"/>
        <w:textAlignment w:val="baseline"/>
        <w:rPr>
          <w:rFonts w:hint="default" w:ascii="Times New Roman" w:hAnsi="Times New Roman" w:eastAsia="黑体" w:cs="Times New Roman"/>
          <w:w w:val="98"/>
          <w:kern w:val="0"/>
          <w:sz w:val="32"/>
          <w:szCs w:val="32"/>
        </w:rPr>
      </w:pPr>
      <w:bookmarkStart w:id="0" w:name="_GoBack"/>
      <w:bookmarkEnd w:id="0"/>
      <w:r>
        <w:rPr>
          <w:rFonts w:hint="default" w:ascii="Times New Roman" w:hAnsi="Times New Roman" w:eastAsia="黑体" w:cs="Times New Roman"/>
          <w:w w:val="98"/>
          <w:kern w:val="0"/>
          <w:sz w:val="32"/>
          <w:szCs w:val="32"/>
        </w:rPr>
        <w:t>附件</w:t>
      </w:r>
    </w:p>
    <w:p w14:paraId="742D0516">
      <w:pPr>
        <w:keepNext w:val="0"/>
        <w:keepLines w:val="0"/>
        <w:pageBreakBefore w:val="0"/>
        <w:widowControl/>
        <w:kinsoku/>
        <w:wordWrap/>
        <w:overflowPunct/>
        <w:topLinePunct w:val="0"/>
        <w:autoSpaceDE/>
        <w:bidi w:val="0"/>
        <w:adjustRightInd w:val="0"/>
        <w:spacing w:line="560" w:lineRule="exact"/>
        <w:jc w:val="center"/>
        <w:textAlignment w:val="baseline"/>
        <w:rPr>
          <w:rFonts w:hint="default" w:ascii="Times New Roman" w:hAnsi="Times New Roman" w:eastAsia="方正小标宋简体" w:cs="Times New Roman"/>
          <w:w w:val="98"/>
          <w:kern w:val="0"/>
          <w:sz w:val="44"/>
          <w:szCs w:val="44"/>
        </w:rPr>
      </w:pPr>
    </w:p>
    <w:p w14:paraId="509821AC">
      <w:pPr>
        <w:keepNext w:val="0"/>
        <w:keepLines w:val="0"/>
        <w:pageBreakBefore w:val="0"/>
        <w:widowControl/>
        <w:kinsoku/>
        <w:wordWrap/>
        <w:overflowPunct/>
        <w:topLinePunct w:val="0"/>
        <w:autoSpaceDE/>
        <w:bidi w:val="0"/>
        <w:adjustRightInd w:val="0"/>
        <w:spacing w:line="560" w:lineRule="exact"/>
        <w:jc w:val="center"/>
        <w:textAlignment w:val="baseline"/>
        <w:rPr>
          <w:rFonts w:hint="default" w:ascii="Times New Roman" w:hAnsi="Times New Roman" w:eastAsia="方正小标宋简体" w:cs="Times New Roman"/>
          <w:w w:val="98"/>
          <w:kern w:val="0"/>
          <w:sz w:val="44"/>
          <w:szCs w:val="44"/>
        </w:rPr>
      </w:pPr>
      <w:r>
        <w:rPr>
          <w:rFonts w:hint="default" w:ascii="Times New Roman" w:hAnsi="Times New Roman" w:eastAsia="方正小标宋简体" w:cs="Times New Roman"/>
          <w:w w:val="98"/>
          <w:kern w:val="0"/>
          <w:sz w:val="44"/>
          <w:szCs w:val="44"/>
        </w:rPr>
        <w:t>新增生物医药（含医疗器械）和食品饮料</w:t>
      </w:r>
    </w:p>
    <w:p w14:paraId="0B0959C6">
      <w:pPr>
        <w:keepNext w:val="0"/>
        <w:keepLines w:val="0"/>
        <w:pageBreakBefore w:val="0"/>
        <w:widowControl/>
        <w:kinsoku/>
        <w:wordWrap/>
        <w:overflowPunct/>
        <w:topLinePunct w:val="0"/>
        <w:autoSpaceDE/>
        <w:bidi w:val="0"/>
        <w:adjustRightInd w:val="0"/>
        <w:spacing w:line="560" w:lineRule="exact"/>
        <w:jc w:val="center"/>
        <w:textAlignment w:val="baseline"/>
        <w:rPr>
          <w:rFonts w:hint="default" w:ascii="Times New Roman" w:hAnsi="Times New Roman" w:eastAsia="方正小标宋简体" w:cs="Times New Roman"/>
          <w:w w:val="98"/>
          <w:kern w:val="0"/>
          <w:sz w:val="44"/>
          <w:szCs w:val="44"/>
        </w:rPr>
      </w:pPr>
      <w:r>
        <w:rPr>
          <w:rFonts w:hint="default" w:ascii="Times New Roman" w:hAnsi="Times New Roman" w:eastAsia="方正小标宋简体" w:cs="Times New Roman"/>
          <w:w w:val="98"/>
          <w:kern w:val="0"/>
          <w:sz w:val="44"/>
          <w:szCs w:val="44"/>
        </w:rPr>
        <w:t>行业开展中小企业数字化</w:t>
      </w:r>
    </w:p>
    <w:p w14:paraId="6B1287EB">
      <w:pPr>
        <w:keepNext w:val="0"/>
        <w:keepLines w:val="0"/>
        <w:pageBreakBefore w:val="0"/>
        <w:widowControl/>
        <w:kinsoku/>
        <w:wordWrap/>
        <w:overflowPunct/>
        <w:topLinePunct w:val="0"/>
        <w:autoSpaceDE/>
        <w:bidi w:val="0"/>
        <w:adjustRightInd w:val="0"/>
        <w:spacing w:line="560" w:lineRule="exact"/>
        <w:jc w:val="center"/>
        <w:textAlignment w:val="baseline"/>
        <w:rPr>
          <w:rFonts w:hint="default" w:ascii="Times New Roman" w:hAnsi="Times New Roman" w:eastAsia="方正小标宋简体" w:cs="Times New Roman"/>
          <w:kern w:val="0"/>
          <w:sz w:val="44"/>
          <w:szCs w:val="44"/>
        </w:rPr>
      </w:pPr>
      <w:r>
        <w:rPr>
          <w:rFonts w:hint="default" w:ascii="Times New Roman" w:hAnsi="Times New Roman" w:eastAsia="方正小标宋简体" w:cs="Times New Roman"/>
          <w:w w:val="98"/>
          <w:kern w:val="0"/>
          <w:sz w:val="44"/>
          <w:szCs w:val="44"/>
        </w:rPr>
        <w:t>转型工作方案</w:t>
      </w:r>
      <w:r>
        <w:rPr>
          <w:rFonts w:hint="default" w:ascii="Times New Roman" w:hAnsi="Times New Roman" w:eastAsia="方正小标宋简体" w:cs="Times New Roman"/>
          <w:kern w:val="0"/>
          <w:sz w:val="44"/>
          <w:szCs w:val="44"/>
        </w:rPr>
        <w:t>​</w:t>
      </w:r>
    </w:p>
    <w:p w14:paraId="6ED519DB">
      <w:pPr>
        <w:keepNext w:val="0"/>
        <w:keepLines w:val="0"/>
        <w:pageBreakBefore w:val="0"/>
        <w:widowControl/>
        <w:kinsoku/>
        <w:wordWrap/>
        <w:overflowPunct/>
        <w:topLinePunct w:val="0"/>
        <w:autoSpaceDE/>
        <w:bidi w:val="0"/>
        <w:adjustRightInd w:val="0"/>
        <w:spacing w:line="560" w:lineRule="exact"/>
        <w:textAlignment w:val="baseline"/>
        <w:rPr>
          <w:rFonts w:hint="default" w:ascii="Times New Roman" w:hAnsi="Times New Roman" w:eastAsia="方正小标宋_GBK" w:cs="Times New Roman"/>
          <w:kern w:val="0"/>
          <w:sz w:val="32"/>
          <w:szCs w:val="32"/>
        </w:rPr>
      </w:pPr>
    </w:p>
    <w:p w14:paraId="12FF7168">
      <w:pPr>
        <w:keepNext w:val="0"/>
        <w:keepLines w:val="0"/>
        <w:pageBreakBefore w:val="0"/>
        <w:widowControl w:val="0"/>
        <w:kinsoku/>
        <w:wordWrap/>
        <w:overflowPunct/>
        <w:topLinePunct w:val="0"/>
        <w:autoSpaceDE/>
        <w:bidi w:val="0"/>
        <w:adjustRightInd w:val="0"/>
        <w:spacing w:line="560" w:lineRule="exact"/>
        <w:ind w:firstLine="640" w:firstLineChars="200"/>
        <w:textAlignment w:val="baseline"/>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根据</w:t>
      </w:r>
      <w:r>
        <w:rPr>
          <w:rFonts w:hint="default" w:ascii="Times New Roman" w:hAnsi="Times New Roman" w:eastAsia="仿宋_GB2312" w:cs="Times New Roman"/>
          <w:sz w:val="32"/>
          <w:szCs w:val="32"/>
        </w:rPr>
        <w:t>《广东省工业和信息化厅 广东省财政厅关于开展省级中小企业数字化转型城市试点工作的通知》（粤工信工业互联网函〔2023〕26 号）</w:t>
      </w:r>
      <w:r>
        <w:rPr>
          <w:rFonts w:hint="default" w:ascii="Times New Roman" w:hAnsi="Times New Roman" w:eastAsia="仿宋_GB2312" w:cs="Times New Roman"/>
          <w:color w:val="000000"/>
          <w:sz w:val="32"/>
          <w:szCs w:val="32"/>
          <w:shd w:val="clear" w:color="auto" w:fill="FFFFFF"/>
        </w:rPr>
        <w:t>《广东省工业和信息化厅 广东省财政厅关于做好省级中小企业数字化转型城市试点专项资金管理工作的通知》（粤工信工业互联网函〔2024〕57 号）《广州市工业和信息化局关于印发《广州市中小企业数字化转型城市试点工作方案（2024</w:t>
      </w:r>
      <w:r>
        <w:rPr>
          <w:rFonts w:hint="default" w:ascii="Times New Roman" w:hAnsi="Times New Roman" w:eastAsia="仿宋_GB2312" w:cs="Times New Roman"/>
          <w:color w:val="000000"/>
          <w:sz w:val="32"/>
          <w:szCs w:val="32"/>
          <w:shd w:val="clear" w:color="auto" w:fill="FFFFFF"/>
          <w:lang w:val="en-US" w:eastAsia="zh-CN"/>
        </w:rPr>
        <w:t>-</w:t>
      </w:r>
      <w:r>
        <w:rPr>
          <w:rFonts w:hint="default" w:ascii="Times New Roman" w:hAnsi="Times New Roman" w:eastAsia="仿宋_GB2312" w:cs="Times New Roman"/>
          <w:color w:val="000000"/>
          <w:sz w:val="32"/>
          <w:szCs w:val="32"/>
          <w:shd w:val="clear" w:color="auto" w:fill="FFFFFF"/>
        </w:rPr>
        <w:t>2026年）》的通知》（穗工信函〔2024〕358 号）《广东省工业和信息化厅关于同意有关地市扩大中小企业数字化转型城市试点细分行业支持范围的复函》（粤工信工业互联网函〔2025〕70号）等文件要求，为深入推动我市中小企业数字化转型，新增生物医药（含医疗器械）和食品饮料行业作为省级中小企业数字化转型城市试点细分行业，并结合我市实际情况制定本方案。</w:t>
      </w:r>
    </w:p>
    <w:p w14:paraId="756C433F">
      <w:pPr>
        <w:keepNext w:val="0"/>
        <w:keepLines w:val="0"/>
        <w:pageBreakBefore w:val="0"/>
        <w:widowControl w:val="0"/>
        <w:kinsoku/>
        <w:wordWrap/>
        <w:overflowPunct/>
        <w:topLinePunct w:val="0"/>
        <w:autoSpaceDE/>
        <w:bidi w:val="0"/>
        <w:spacing w:line="560" w:lineRule="exact"/>
        <w:ind w:firstLine="640" w:firstLineChars="200"/>
        <w:rPr>
          <w:rFonts w:hint="default" w:ascii="Times New Roman" w:hAnsi="Times New Roman" w:cs="Times New Roman"/>
          <w:sz w:val="32"/>
          <w:szCs w:val="32"/>
        </w:rPr>
      </w:pPr>
      <w:r>
        <w:rPr>
          <w:rFonts w:hint="default" w:ascii="Times New Roman" w:hAnsi="Times New Roman" w:eastAsia="黑体" w:cs="Times New Roman"/>
          <w:color w:val="000000"/>
          <w:kern w:val="0"/>
          <w:sz w:val="32"/>
          <w:szCs w:val="32"/>
          <w:lang w:bidi="ar"/>
        </w:rPr>
        <w:t>一、指导思想</w:t>
      </w:r>
    </w:p>
    <w:p w14:paraId="68DAEAFC">
      <w:pPr>
        <w:keepNext w:val="0"/>
        <w:keepLines w:val="0"/>
        <w:pageBreakBefore w:val="0"/>
        <w:widowControl w:val="0"/>
        <w:kinsoku/>
        <w:wordWrap/>
        <w:overflowPunct/>
        <w:topLinePunct w:val="0"/>
        <w:autoSpaceDE/>
        <w:bidi w:val="0"/>
        <w:adjustRightInd w:val="0"/>
        <w:spacing w:line="560" w:lineRule="exact"/>
        <w:ind w:firstLine="640" w:firstLineChars="200"/>
        <w:textAlignment w:val="baseline"/>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坚持以习近平新时代中国特色社会主义思想为指导，深入贯彻党的二十大和二十届</w:t>
      </w:r>
      <w:r>
        <w:rPr>
          <w:rFonts w:hint="default" w:ascii="Times New Roman" w:hAnsi="Times New Roman" w:eastAsia="仿宋_GB2312" w:cs="Times New Roman"/>
          <w:color w:val="000000"/>
          <w:sz w:val="32"/>
          <w:szCs w:val="32"/>
          <w:shd w:val="clear" w:color="auto" w:fill="FFFFFF"/>
          <w:lang w:eastAsia="zh-CN"/>
        </w:rPr>
        <w:t>历届</w:t>
      </w:r>
      <w:r>
        <w:rPr>
          <w:rFonts w:hint="default" w:ascii="Times New Roman" w:hAnsi="Times New Roman" w:eastAsia="仿宋_GB2312" w:cs="Times New Roman"/>
          <w:color w:val="000000"/>
          <w:sz w:val="32"/>
          <w:szCs w:val="32"/>
          <w:shd w:val="clear" w:color="auto" w:fill="FFFFFF"/>
        </w:rPr>
        <w:t>全会精神，加快落实国家、省级中小企业数字化转型城市试点工作，推动中小企业运用新一代信息技术实现数字化转型，提升产业链供应链协同配套能力，实现降本提质增效和增收增利发展，探索形成广州市中小企业数字化转型的特色路径，赋能广州市新型工业化建设。</w:t>
      </w:r>
    </w:p>
    <w:p w14:paraId="5576CE6D">
      <w:pPr>
        <w:keepNext w:val="0"/>
        <w:keepLines w:val="0"/>
        <w:pageBreakBefore w:val="0"/>
        <w:widowControl w:val="0"/>
        <w:kinsoku/>
        <w:wordWrap/>
        <w:overflowPunct/>
        <w:topLinePunct w:val="0"/>
        <w:autoSpaceDE/>
        <w:bidi w:val="0"/>
        <w:adjustRightInd w:val="0"/>
        <w:snapToGrid w:val="0"/>
        <w:spacing w:line="56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二、工作目标</w:t>
      </w:r>
    </w:p>
    <w:p w14:paraId="6782948D">
      <w:pPr>
        <w:keepNext w:val="0"/>
        <w:keepLines w:val="0"/>
        <w:pageBreakBefore w:val="0"/>
        <w:widowControl w:val="0"/>
        <w:kinsoku/>
        <w:wordWrap/>
        <w:overflowPunct/>
        <w:topLinePunct w:val="0"/>
        <w:autoSpaceDE/>
        <w:bidi w:val="0"/>
        <w:adjustRightInd w:val="0"/>
        <w:spacing w:line="560" w:lineRule="exact"/>
        <w:ind w:firstLine="640" w:firstLineChars="200"/>
        <w:textAlignment w:val="baseline"/>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推动生物医药（含医疗器械）、食品饮料行业及其产业链上下游配套产业的</w:t>
      </w:r>
      <w:r>
        <w:rPr>
          <w:rFonts w:hint="default" w:ascii="Times New Roman" w:hAnsi="Times New Roman" w:eastAsia="仿宋_GB2312" w:cs="Times New Roman"/>
          <w:color w:val="000000"/>
          <w:sz w:val="32"/>
          <w:szCs w:val="32"/>
          <w:shd w:val="clear" w:color="auto" w:fill="FFFFFF"/>
          <w:lang w:eastAsia="zh-CN"/>
        </w:rPr>
        <w:t>制造业</w:t>
      </w:r>
      <w:r>
        <w:rPr>
          <w:rFonts w:hint="default" w:ascii="Times New Roman" w:hAnsi="Times New Roman" w:eastAsia="仿宋_GB2312" w:cs="Times New Roman"/>
          <w:color w:val="000000"/>
          <w:sz w:val="32"/>
          <w:szCs w:val="32"/>
          <w:shd w:val="clear" w:color="auto" w:fill="FFFFFF"/>
        </w:rPr>
        <w:t>中小企业实施数字化转型并达到数字化水平二级及以上，提升产业链整体数字化水平。</w:t>
      </w:r>
    </w:p>
    <w:p w14:paraId="1A208519">
      <w:pPr>
        <w:keepNext w:val="0"/>
        <w:keepLines w:val="0"/>
        <w:pageBreakBefore w:val="0"/>
        <w:widowControl w:val="0"/>
        <w:kinsoku/>
        <w:wordWrap/>
        <w:overflowPunct/>
        <w:topLinePunct w:val="0"/>
        <w:autoSpaceDE/>
        <w:bidi w:val="0"/>
        <w:adjustRightInd w:val="0"/>
        <w:snapToGrid w:val="0"/>
        <w:spacing w:line="56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三、工作任务</w:t>
      </w:r>
    </w:p>
    <w:p w14:paraId="1812DB9F">
      <w:pPr>
        <w:keepNext w:val="0"/>
        <w:keepLines w:val="0"/>
        <w:pageBreakBefore w:val="0"/>
        <w:widowControl w:val="0"/>
        <w:kinsoku/>
        <w:wordWrap/>
        <w:overflowPunct/>
        <w:topLinePunct w:val="0"/>
        <w:autoSpaceDE/>
        <w:bidi w:val="0"/>
        <w:adjustRightInd w:val="0"/>
        <w:spacing w:line="560" w:lineRule="exact"/>
        <w:ind w:firstLine="640" w:firstLineChars="200"/>
        <w:textAlignment w:val="baseline"/>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整体沿用现行省级试点工作机制，授权已承担试点工作的数字化牵引单位，</w:t>
      </w:r>
      <w:r>
        <w:rPr>
          <w:rFonts w:hint="default" w:ascii="Times New Roman" w:hAnsi="Times New Roman" w:eastAsia="仿宋_GB2312" w:cs="Times New Roman"/>
          <w:color w:val="000000"/>
          <w:sz w:val="32"/>
          <w:szCs w:val="32"/>
          <w:shd w:val="clear" w:color="auto" w:fill="FFFFFF"/>
          <w:lang w:eastAsia="zh-CN"/>
        </w:rPr>
        <w:t>推动</w:t>
      </w:r>
      <w:r>
        <w:rPr>
          <w:rFonts w:hint="default" w:ascii="Times New Roman" w:hAnsi="Times New Roman" w:eastAsia="仿宋_GB2312" w:cs="Times New Roman"/>
          <w:color w:val="000000"/>
          <w:sz w:val="32"/>
          <w:szCs w:val="32"/>
          <w:shd w:val="clear" w:color="auto" w:fill="FFFFFF"/>
        </w:rPr>
        <w:t>生物医药（含医疗器械）、食品饮料行业及其产业链上下游配套产业的</w:t>
      </w:r>
      <w:r>
        <w:rPr>
          <w:rFonts w:hint="default" w:ascii="Times New Roman" w:hAnsi="Times New Roman" w:eastAsia="仿宋_GB2312" w:cs="Times New Roman"/>
          <w:color w:val="000000"/>
          <w:sz w:val="32"/>
          <w:szCs w:val="32"/>
          <w:shd w:val="clear" w:color="auto" w:fill="FFFFFF"/>
          <w:lang w:eastAsia="zh-CN"/>
        </w:rPr>
        <w:t>制造业</w:t>
      </w:r>
      <w:r>
        <w:rPr>
          <w:rFonts w:hint="default" w:ascii="Times New Roman" w:hAnsi="Times New Roman" w:eastAsia="仿宋_GB2312" w:cs="Times New Roman"/>
          <w:color w:val="000000"/>
          <w:sz w:val="32"/>
          <w:szCs w:val="32"/>
          <w:shd w:val="clear" w:color="auto" w:fill="FFFFFF"/>
        </w:rPr>
        <w:t>中小企业实施数字化转型。鼓励牵引单位聚焦试点行业梳理2023年10月11日以来开展的数字化改造项目，组织相关企业开展数字化水平测评，并参与省级数字化改造试点项目入库申报。此项工作自2025年11月1日起持续开展至省级试点工作结束，支持一批符合条件的中小企业用足用好奖补政策。</w:t>
      </w:r>
    </w:p>
    <w:p w14:paraId="4914B881">
      <w:pPr>
        <w:keepNext w:val="0"/>
        <w:keepLines w:val="0"/>
        <w:pageBreakBefore w:val="0"/>
        <w:widowControl w:val="0"/>
        <w:kinsoku/>
        <w:wordWrap/>
        <w:overflowPunct/>
        <w:topLinePunct w:val="0"/>
        <w:autoSpaceDE/>
        <w:bidi w:val="0"/>
        <w:adjustRightInd w:val="0"/>
        <w:snapToGrid w:val="0"/>
        <w:spacing w:line="56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四、奖补范围及标准</w:t>
      </w:r>
    </w:p>
    <w:p w14:paraId="109A3311">
      <w:pPr>
        <w:keepNext w:val="0"/>
        <w:keepLines w:val="0"/>
        <w:pageBreakBefore w:val="0"/>
        <w:widowControl w:val="0"/>
        <w:kinsoku/>
        <w:wordWrap/>
        <w:overflowPunct/>
        <w:topLinePunct w:val="0"/>
        <w:autoSpaceDE/>
        <w:bidi w:val="0"/>
        <w:adjustRightInd w:val="0"/>
        <w:snapToGrid w:val="0"/>
        <w:spacing w:line="560" w:lineRule="exact"/>
        <w:ind w:firstLine="684" w:firstLineChars="200"/>
        <w:outlineLvl w:val="2"/>
        <w:rPr>
          <w:rFonts w:hint="default" w:ascii="Times New Roman" w:hAnsi="Times New Roman" w:eastAsia="楷体_GB2312" w:cs="Times New Roman"/>
          <w:spacing w:val="11"/>
          <w:sz w:val="32"/>
          <w:szCs w:val="32"/>
        </w:rPr>
      </w:pPr>
      <w:r>
        <w:rPr>
          <w:rFonts w:hint="default" w:ascii="Times New Roman" w:hAnsi="Times New Roman" w:eastAsia="楷体_GB2312" w:cs="Times New Roman"/>
          <w:spacing w:val="11"/>
          <w:sz w:val="32"/>
          <w:szCs w:val="32"/>
        </w:rPr>
        <w:t>（一）奖补范围。</w:t>
      </w:r>
    </w:p>
    <w:p w14:paraId="21431EFA">
      <w:pPr>
        <w:keepNext w:val="0"/>
        <w:keepLines w:val="0"/>
        <w:pageBreakBefore w:val="0"/>
        <w:widowControl w:val="0"/>
        <w:kinsoku/>
        <w:wordWrap/>
        <w:overflowPunct/>
        <w:topLinePunct w:val="0"/>
        <w:autoSpaceDE/>
        <w:bidi w:val="0"/>
        <w:adjustRightInd w:val="0"/>
        <w:spacing w:line="560" w:lineRule="exact"/>
        <w:ind w:firstLine="640" w:firstLineChars="200"/>
        <w:textAlignment w:val="baseline"/>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生物医药（含医疗器械）、食品饮料行业</w:t>
      </w:r>
      <w:r>
        <w:rPr>
          <w:rFonts w:hint="default" w:ascii="Times New Roman" w:hAnsi="Times New Roman" w:eastAsia="仿宋_GB2312" w:cs="Times New Roman"/>
          <w:color w:val="000000"/>
          <w:sz w:val="32"/>
          <w:szCs w:val="32"/>
          <w:shd w:val="clear" w:color="auto" w:fill="FFFFFF"/>
          <w:lang w:eastAsia="zh-CN"/>
        </w:rPr>
        <w:t>制造业</w:t>
      </w:r>
      <w:r>
        <w:rPr>
          <w:rFonts w:hint="default" w:ascii="Times New Roman" w:hAnsi="Times New Roman" w:eastAsia="仿宋_GB2312" w:cs="Times New Roman"/>
          <w:color w:val="000000"/>
          <w:sz w:val="32"/>
          <w:szCs w:val="32"/>
          <w:shd w:val="clear" w:color="auto" w:fill="FFFFFF"/>
        </w:rPr>
        <w:t>中小企业开展数字化改造的项目，包括购买数字化改造相关的软件、云服务及必要的实施服务，网关、路由、传感器、工业控制系统、防火墙等必要的数据采集传输、工业控制、信息安全设备。</w:t>
      </w:r>
    </w:p>
    <w:p w14:paraId="05FDB8BF">
      <w:pPr>
        <w:keepNext w:val="0"/>
        <w:keepLines w:val="0"/>
        <w:pageBreakBefore w:val="0"/>
        <w:widowControl w:val="0"/>
        <w:kinsoku/>
        <w:wordWrap/>
        <w:overflowPunct/>
        <w:topLinePunct w:val="0"/>
        <w:autoSpaceDE/>
        <w:bidi w:val="0"/>
        <w:adjustRightInd w:val="0"/>
        <w:snapToGrid w:val="0"/>
        <w:spacing w:line="560" w:lineRule="exact"/>
        <w:ind w:firstLine="684" w:firstLineChars="200"/>
        <w:outlineLvl w:val="2"/>
        <w:rPr>
          <w:rFonts w:hint="default" w:ascii="Times New Roman" w:hAnsi="Times New Roman" w:eastAsia="楷体_GB2312" w:cs="Times New Roman"/>
          <w:spacing w:val="11"/>
          <w:sz w:val="32"/>
          <w:szCs w:val="32"/>
        </w:rPr>
      </w:pPr>
      <w:r>
        <w:rPr>
          <w:rFonts w:hint="default" w:ascii="Times New Roman" w:hAnsi="Times New Roman" w:eastAsia="楷体_GB2312" w:cs="Times New Roman"/>
          <w:spacing w:val="11"/>
          <w:sz w:val="32"/>
          <w:szCs w:val="32"/>
        </w:rPr>
        <w:t>（二）奖补标准。</w:t>
      </w:r>
    </w:p>
    <w:p w14:paraId="67CC6E65">
      <w:pPr>
        <w:keepNext w:val="0"/>
        <w:keepLines w:val="0"/>
        <w:pageBreakBefore w:val="0"/>
        <w:widowControl w:val="0"/>
        <w:kinsoku/>
        <w:wordWrap/>
        <w:overflowPunct/>
        <w:topLinePunct w:val="0"/>
        <w:autoSpaceDE/>
        <w:bidi w:val="0"/>
        <w:adjustRightInd w:val="0"/>
        <w:spacing w:line="560" w:lineRule="exact"/>
        <w:ind w:firstLine="640" w:firstLineChars="200"/>
        <w:textAlignment w:val="baseline"/>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省、市二级资金累计按照不超过企业数字化改造项目核定投入的50%给予补助（具体比例按财政下达资金情况确定），其中数字化水平等级达到二级的企业累计补助不超过60万元，三级的企业累计补助不超过100万元，四级的企业累计补助不超过150万元。</w:t>
      </w:r>
    </w:p>
    <w:p w14:paraId="58115020">
      <w:pPr>
        <w:keepNext w:val="0"/>
        <w:keepLines w:val="0"/>
        <w:pageBreakBefore w:val="0"/>
        <w:widowControl w:val="0"/>
        <w:kinsoku/>
        <w:wordWrap/>
        <w:overflowPunct/>
        <w:topLinePunct w:val="0"/>
        <w:autoSpaceDE/>
        <w:autoSpaceDN w:val="0"/>
        <w:bidi w:val="0"/>
        <w:snapToGrid w:val="0"/>
        <w:spacing w:line="56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五、实施步骤</w:t>
      </w:r>
    </w:p>
    <w:p w14:paraId="5443BEA3">
      <w:pPr>
        <w:keepNext w:val="0"/>
        <w:keepLines w:val="0"/>
        <w:pageBreakBefore w:val="0"/>
        <w:widowControl w:val="0"/>
        <w:kinsoku/>
        <w:wordWrap/>
        <w:overflowPunct/>
        <w:topLinePunct w:val="0"/>
        <w:autoSpaceDE/>
        <w:bidi w:val="0"/>
        <w:adjustRightInd w:val="0"/>
        <w:snapToGrid w:val="0"/>
        <w:spacing w:line="560" w:lineRule="exact"/>
        <w:ind w:firstLine="684" w:firstLineChars="200"/>
        <w:rPr>
          <w:rFonts w:hint="default" w:ascii="Times New Roman" w:hAnsi="Times New Roman" w:eastAsia="楷体_GB2312" w:cs="Times New Roman"/>
          <w:spacing w:val="11"/>
          <w:sz w:val="32"/>
          <w:szCs w:val="32"/>
        </w:rPr>
      </w:pPr>
      <w:r>
        <w:rPr>
          <w:rFonts w:hint="default" w:ascii="Times New Roman" w:hAnsi="Times New Roman" w:eastAsia="楷体_GB2312" w:cs="Times New Roman"/>
          <w:spacing w:val="11"/>
          <w:sz w:val="32"/>
          <w:szCs w:val="32"/>
        </w:rPr>
        <w:t>（一）发动中小企业数字化转型。</w:t>
      </w:r>
      <w:r>
        <w:rPr>
          <w:rFonts w:hint="default" w:ascii="Times New Roman" w:hAnsi="Times New Roman" w:eastAsia="仿宋_GB2312" w:cs="Times New Roman"/>
          <w:color w:val="000000"/>
          <w:sz w:val="32"/>
          <w:szCs w:val="32"/>
          <w:shd w:val="clear" w:color="auto" w:fill="FFFFFF"/>
        </w:rPr>
        <w:t>动员各区、产业集群、园区和协会等围绕重点细分行业，多渠道持续发动产业链上下游中小企业参与数字化改造，重点发动联合创新意愿强、应用场景丰富的专精特新中小企业作为数字化改造对象。</w:t>
      </w:r>
    </w:p>
    <w:p w14:paraId="20E0E141">
      <w:pPr>
        <w:keepNext w:val="0"/>
        <w:keepLines w:val="0"/>
        <w:pageBreakBefore w:val="0"/>
        <w:widowControl w:val="0"/>
        <w:kinsoku/>
        <w:wordWrap/>
        <w:overflowPunct/>
        <w:topLinePunct w:val="0"/>
        <w:autoSpaceDE/>
        <w:bidi w:val="0"/>
        <w:adjustRightInd w:val="0"/>
        <w:snapToGrid w:val="0"/>
        <w:spacing w:line="560" w:lineRule="exact"/>
        <w:ind w:firstLine="684" w:firstLineChars="200"/>
        <w:rPr>
          <w:rFonts w:hint="default" w:ascii="Times New Roman" w:hAnsi="Times New Roman" w:eastAsia="楷体_GB2312" w:cs="Times New Roman"/>
          <w:spacing w:val="11"/>
          <w:sz w:val="32"/>
          <w:szCs w:val="32"/>
        </w:rPr>
      </w:pPr>
      <w:r>
        <w:rPr>
          <w:rFonts w:hint="default" w:ascii="Times New Roman" w:hAnsi="Times New Roman" w:eastAsia="楷体_GB2312" w:cs="Times New Roman"/>
          <w:spacing w:val="11"/>
          <w:sz w:val="32"/>
          <w:szCs w:val="32"/>
        </w:rPr>
        <w:t>（二）组建“1+1+N”产业生态联合体。</w:t>
      </w:r>
      <w:r>
        <w:rPr>
          <w:rFonts w:hint="default" w:ascii="Times New Roman" w:hAnsi="Times New Roman" w:eastAsia="仿宋_GB2312" w:cs="Times New Roman"/>
          <w:color w:val="000000"/>
          <w:sz w:val="32"/>
          <w:szCs w:val="32"/>
          <w:shd w:val="clear" w:color="auto" w:fill="FFFFFF"/>
        </w:rPr>
        <w:t>授权已承担试点工作的数字化牵引单位，组建产业生态联合体，联合龙头企业、服务商、平台商和运营商等围绕设计、制造、销售、服务、管理、安全等关键环节精准制定数字化转型解决方案。</w:t>
      </w:r>
    </w:p>
    <w:p w14:paraId="003E429A">
      <w:pPr>
        <w:keepNext w:val="0"/>
        <w:keepLines w:val="0"/>
        <w:pageBreakBefore w:val="0"/>
        <w:widowControl w:val="0"/>
        <w:kinsoku/>
        <w:wordWrap/>
        <w:overflowPunct/>
        <w:topLinePunct w:val="0"/>
        <w:autoSpaceDE/>
        <w:bidi w:val="0"/>
        <w:adjustRightInd w:val="0"/>
        <w:snapToGrid w:val="0"/>
        <w:spacing w:line="560" w:lineRule="exact"/>
        <w:ind w:firstLine="684" w:firstLineChars="200"/>
        <w:rPr>
          <w:rFonts w:hint="default" w:ascii="Times New Roman" w:hAnsi="Times New Roman" w:eastAsia="仿宋_GB2312" w:cs="Times New Roman"/>
          <w:spacing w:val="11"/>
          <w:sz w:val="32"/>
          <w:szCs w:val="32"/>
        </w:rPr>
      </w:pPr>
      <w:r>
        <w:rPr>
          <w:rFonts w:hint="default" w:ascii="Times New Roman" w:hAnsi="Times New Roman" w:eastAsia="楷体_GB2312" w:cs="Times New Roman"/>
          <w:spacing w:val="11"/>
          <w:sz w:val="32"/>
          <w:szCs w:val="32"/>
        </w:rPr>
        <w:t>（三）征集“小快轻准”数字化产品。</w:t>
      </w:r>
      <w:r>
        <w:rPr>
          <w:rFonts w:hint="default" w:ascii="Times New Roman" w:hAnsi="Times New Roman" w:eastAsia="仿宋_GB2312" w:cs="Times New Roman"/>
          <w:color w:val="000000"/>
          <w:sz w:val="32"/>
          <w:szCs w:val="32"/>
          <w:shd w:val="clear" w:color="auto" w:fill="FFFFFF"/>
        </w:rPr>
        <w:t>广泛征集覆盖试点细分行业中小企业数字化转型全业务环节的“小快轻准”数字化转型产品和解决方案，建立数字化产品和服务清单目录，对数字化产品开展评估诊断、项目过程管理、供给产品审核等工作。</w:t>
      </w:r>
    </w:p>
    <w:p w14:paraId="1D2026D7">
      <w:pPr>
        <w:keepNext w:val="0"/>
        <w:keepLines w:val="0"/>
        <w:pageBreakBefore w:val="0"/>
        <w:widowControl w:val="0"/>
        <w:kinsoku/>
        <w:wordWrap/>
        <w:overflowPunct/>
        <w:topLinePunct w:val="0"/>
        <w:autoSpaceDE/>
        <w:bidi w:val="0"/>
        <w:adjustRightInd w:val="0"/>
        <w:snapToGrid w:val="0"/>
        <w:spacing w:line="560" w:lineRule="exact"/>
        <w:ind w:firstLine="684" w:firstLineChars="200"/>
        <w:rPr>
          <w:rFonts w:hint="default" w:ascii="Times New Roman" w:hAnsi="Times New Roman" w:eastAsia="楷体_GB2312" w:cs="Times New Roman"/>
          <w:spacing w:val="11"/>
          <w:sz w:val="32"/>
          <w:szCs w:val="32"/>
        </w:rPr>
      </w:pPr>
      <w:r>
        <w:rPr>
          <w:rFonts w:hint="default" w:ascii="Times New Roman" w:hAnsi="Times New Roman" w:eastAsia="楷体_GB2312" w:cs="Times New Roman"/>
          <w:spacing w:val="11"/>
          <w:sz w:val="32"/>
          <w:szCs w:val="32"/>
        </w:rPr>
        <w:t>（四）推动中小企业开展数字化改造。</w:t>
      </w:r>
      <w:r>
        <w:rPr>
          <w:rFonts w:hint="default" w:ascii="Times New Roman" w:hAnsi="Times New Roman" w:eastAsia="仿宋_GB2312" w:cs="Times New Roman"/>
          <w:color w:val="000000"/>
          <w:sz w:val="32"/>
          <w:szCs w:val="32"/>
          <w:shd w:val="clear" w:color="auto" w:fill="FFFFFF"/>
        </w:rPr>
        <w:t>推动试点企业依据自身实际需求与痛点，选择已公示的数字化牵引单位作为服务方并签订改造合同，开展数字化转型改造实施，牵引单位按照服务内容和要求按期按质完成改造工作。</w:t>
      </w:r>
    </w:p>
    <w:p w14:paraId="538D0052">
      <w:pPr>
        <w:keepNext w:val="0"/>
        <w:keepLines w:val="0"/>
        <w:pageBreakBefore w:val="0"/>
        <w:widowControl w:val="0"/>
        <w:kinsoku/>
        <w:wordWrap/>
        <w:overflowPunct/>
        <w:topLinePunct w:val="0"/>
        <w:autoSpaceDE/>
        <w:bidi w:val="0"/>
        <w:adjustRightInd w:val="0"/>
        <w:snapToGrid w:val="0"/>
        <w:spacing w:line="560" w:lineRule="exact"/>
        <w:ind w:firstLine="684"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spacing w:val="11"/>
          <w:sz w:val="32"/>
          <w:szCs w:val="32"/>
        </w:rPr>
        <w:t>（五）实施数字化改造项目验收和补助。</w:t>
      </w:r>
      <w:r>
        <w:rPr>
          <w:rFonts w:hint="default" w:ascii="Times New Roman" w:hAnsi="Times New Roman" w:eastAsia="仿宋_GB2312" w:cs="Times New Roman"/>
          <w:color w:val="000000"/>
          <w:sz w:val="32"/>
          <w:szCs w:val="32"/>
          <w:shd w:val="clear" w:color="auto" w:fill="FFFFFF"/>
        </w:rPr>
        <w:t>改造企业根据验收通知提交验收申请，市工业和信息化局分批组织开展试点数字化改造项目验收申报审核，对通过验收评审的数字化改造项目，按核定实际投入金额的一定比例对试点改造企业予以补助（项目入库申报及评审工作参照原定程序执行）。</w:t>
      </w:r>
    </w:p>
    <w:p w14:paraId="1DF20A24">
      <w:pPr>
        <w:keepNext w:val="0"/>
        <w:keepLines w:val="0"/>
        <w:pageBreakBefore w:val="0"/>
        <w:widowControl w:val="0"/>
        <w:kinsoku/>
        <w:wordWrap/>
        <w:overflowPunct/>
        <w:topLinePunct w:val="0"/>
        <w:autoSpaceDE/>
        <w:bidi w:val="0"/>
        <w:adjustRightInd w:val="0"/>
        <w:snapToGrid w:val="0"/>
        <w:spacing w:line="560" w:lineRule="exact"/>
        <w:ind w:firstLine="640" w:firstLineChars="200"/>
        <w:rPr>
          <w:rFonts w:hint="default" w:ascii="Times New Roman" w:hAnsi="Times New Roman" w:eastAsia="楷体_GB2312" w:cs="Times New Roman"/>
          <w:spacing w:val="11"/>
          <w:sz w:val="32"/>
          <w:szCs w:val="32"/>
        </w:rPr>
      </w:pPr>
      <w:r>
        <w:rPr>
          <w:rFonts w:hint="default" w:ascii="Times New Roman" w:hAnsi="Times New Roman" w:eastAsia="黑体" w:cs="Times New Roman"/>
          <w:sz w:val="32"/>
          <w:szCs w:val="32"/>
        </w:rPr>
        <w:t>六、保障措施</w:t>
      </w:r>
    </w:p>
    <w:p w14:paraId="25DECEE7">
      <w:pPr>
        <w:keepNext w:val="0"/>
        <w:keepLines w:val="0"/>
        <w:pageBreakBefore w:val="0"/>
        <w:widowControl w:val="0"/>
        <w:kinsoku/>
        <w:wordWrap/>
        <w:overflowPunct/>
        <w:topLinePunct w:val="0"/>
        <w:autoSpaceDE/>
        <w:bidi w:val="0"/>
        <w:adjustRightInd w:val="0"/>
        <w:snapToGrid w:val="0"/>
        <w:spacing w:line="560" w:lineRule="exact"/>
        <w:ind w:firstLine="684" w:firstLineChars="200"/>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楷体_GB2312" w:cs="Times New Roman"/>
          <w:spacing w:val="11"/>
          <w:sz w:val="32"/>
          <w:szCs w:val="32"/>
        </w:rPr>
        <w:t>（一）加强组织保障。</w:t>
      </w:r>
      <w:r>
        <w:rPr>
          <w:rFonts w:hint="default" w:ascii="Times New Roman" w:hAnsi="Times New Roman" w:eastAsia="仿宋_GB2312" w:cs="Times New Roman"/>
          <w:color w:val="000000"/>
          <w:sz w:val="32"/>
          <w:szCs w:val="32"/>
          <w:shd w:val="clear" w:color="auto" w:fill="FFFFFF"/>
        </w:rPr>
        <w:t>由广州市中小企业数字化转型城市试点推进工作专班统筹协调，解决试点工作推进过程中遇到的重大问题，加强政策支持、资源统筹和管理服务。</w:t>
      </w:r>
    </w:p>
    <w:p w14:paraId="38EF572F">
      <w:pPr>
        <w:keepNext w:val="0"/>
        <w:keepLines w:val="0"/>
        <w:pageBreakBefore w:val="0"/>
        <w:widowControl w:val="0"/>
        <w:kinsoku/>
        <w:wordWrap/>
        <w:overflowPunct/>
        <w:topLinePunct w:val="0"/>
        <w:autoSpaceDE/>
        <w:bidi w:val="0"/>
        <w:adjustRightInd w:val="0"/>
        <w:snapToGrid w:val="0"/>
        <w:spacing w:line="560" w:lineRule="exact"/>
        <w:ind w:firstLine="640" w:firstLineChars="200"/>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楷体_GB2312" w:cs="Times New Roman"/>
          <w:sz w:val="32"/>
          <w:szCs w:val="32"/>
        </w:rPr>
        <w:t>（二）加大政策支持。</w:t>
      </w:r>
      <w:r>
        <w:rPr>
          <w:rFonts w:hint="default" w:ascii="Times New Roman" w:hAnsi="Times New Roman" w:eastAsia="仿宋_GB2312" w:cs="Times New Roman"/>
          <w:color w:val="000000"/>
          <w:sz w:val="32"/>
          <w:szCs w:val="32"/>
          <w:shd w:val="clear" w:color="auto" w:fill="FFFFFF"/>
        </w:rPr>
        <w:t>加强部门协同和市区联动，统筹省、市二级专项财政资金，用好用足试点相关政策，加大对细分行业数字化转型发展的扶持力度，营造良好的产业发展生态。</w:t>
      </w:r>
    </w:p>
    <w:p w14:paraId="79E43E4D">
      <w:pPr>
        <w:keepNext w:val="0"/>
        <w:keepLines w:val="0"/>
        <w:pageBreakBefore w:val="0"/>
        <w:widowControl w:val="0"/>
        <w:kinsoku/>
        <w:wordWrap/>
        <w:overflowPunct/>
        <w:topLinePunct w:val="0"/>
        <w:autoSpaceDE/>
        <w:bidi w:val="0"/>
        <w:adjustRightInd w:val="0"/>
        <w:spacing w:line="560" w:lineRule="exact"/>
        <w:ind w:firstLine="640" w:firstLineChars="200"/>
        <w:textAlignment w:val="baseline"/>
        <w:rPr>
          <w:rFonts w:hint="default" w:ascii="Times New Roman" w:hAnsi="Times New Roman" w:eastAsia="仿宋_GB2312" w:cs="Times New Roman"/>
          <w:sz w:val="32"/>
          <w:szCs w:val="22"/>
        </w:rPr>
      </w:pPr>
      <w:r>
        <w:rPr>
          <w:rFonts w:hint="default" w:ascii="Times New Roman" w:hAnsi="Times New Roman" w:eastAsia="楷体_GB2312" w:cs="Times New Roman"/>
          <w:sz w:val="32"/>
          <w:szCs w:val="32"/>
        </w:rPr>
        <w:t>（三）突出过程监督。</w:t>
      </w:r>
      <w:r>
        <w:rPr>
          <w:rFonts w:hint="default" w:ascii="Times New Roman" w:hAnsi="Times New Roman" w:eastAsia="仿宋_GB2312" w:cs="Times New Roman"/>
          <w:color w:val="000000"/>
          <w:sz w:val="32"/>
          <w:szCs w:val="32"/>
          <w:shd w:val="clear" w:color="auto" w:fill="FFFFFF"/>
        </w:rPr>
        <w:t>按照试点工作要求，对城市试点专项工作全流程监管，及时总结经验，强化成效评估，形成“一企一档”的中小企业数字化转型全流程监管档案。</w:t>
      </w:r>
    </w:p>
    <w:sectPr>
      <w:footerReference r:id="rId3" w:type="default"/>
      <w:pgSz w:w="11906" w:h="16838"/>
      <w:pgMar w:top="1587" w:right="1474" w:bottom="1587"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865EC">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577D33">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F577D33">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1E2C75"/>
    <w:rsid w:val="00136994"/>
    <w:rsid w:val="00286035"/>
    <w:rsid w:val="003C468C"/>
    <w:rsid w:val="005E7C6C"/>
    <w:rsid w:val="008D696E"/>
    <w:rsid w:val="00971338"/>
    <w:rsid w:val="00D82873"/>
    <w:rsid w:val="00E203DE"/>
    <w:rsid w:val="00E35D7B"/>
    <w:rsid w:val="00EB7E60"/>
    <w:rsid w:val="01F114A6"/>
    <w:rsid w:val="096D1D5A"/>
    <w:rsid w:val="0C711D8A"/>
    <w:rsid w:val="0CA72BA0"/>
    <w:rsid w:val="0EDB148E"/>
    <w:rsid w:val="107C6223"/>
    <w:rsid w:val="10C2371D"/>
    <w:rsid w:val="11C35579"/>
    <w:rsid w:val="1237322A"/>
    <w:rsid w:val="13CD2CC2"/>
    <w:rsid w:val="18DC0363"/>
    <w:rsid w:val="18E90CD1"/>
    <w:rsid w:val="190E24E6"/>
    <w:rsid w:val="1A1B4EBB"/>
    <w:rsid w:val="1A59250D"/>
    <w:rsid w:val="1AA43102"/>
    <w:rsid w:val="1B3C4A39"/>
    <w:rsid w:val="1B66485B"/>
    <w:rsid w:val="1FB0721E"/>
    <w:rsid w:val="1FDE1317"/>
    <w:rsid w:val="1FFF06B7"/>
    <w:rsid w:val="206C4408"/>
    <w:rsid w:val="21090992"/>
    <w:rsid w:val="23EE3640"/>
    <w:rsid w:val="2A9265E4"/>
    <w:rsid w:val="2B163BA8"/>
    <w:rsid w:val="2C46327A"/>
    <w:rsid w:val="301937F3"/>
    <w:rsid w:val="31596BEA"/>
    <w:rsid w:val="347831DE"/>
    <w:rsid w:val="371236C7"/>
    <w:rsid w:val="373D24BC"/>
    <w:rsid w:val="3AA91D1F"/>
    <w:rsid w:val="3B590554"/>
    <w:rsid w:val="3B7F2F8D"/>
    <w:rsid w:val="3E2D28CC"/>
    <w:rsid w:val="3EF94C0B"/>
    <w:rsid w:val="3F57323D"/>
    <w:rsid w:val="401A69C6"/>
    <w:rsid w:val="40DF3C9D"/>
    <w:rsid w:val="427C033D"/>
    <w:rsid w:val="47B42327"/>
    <w:rsid w:val="484D2B69"/>
    <w:rsid w:val="49D27BDE"/>
    <w:rsid w:val="4A0F4E4B"/>
    <w:rsid w:val="4CBB1319"/>
    <w:rsid w:val="4F247D92"/>
    <w:rsid w:val="4FA90297"/>
    <w:rsid w:val="50067498"/>
    <w:rsid w:val="505F54B8"/>
    <w:rsid w:val="5087480A"/>
    <w:rsid w:val="50C64E79"/>
    <w:rsid w:val="539D6365"/>
    <w:rsid w:val="54D35F06"/>
    <w:rsid w:val="56496330"/>
    <w:rsid w:val="5CA21203"/>
    <w:rsid w:val="5DD71309"/>
    <w:rsid w:val="5FAE0B44"/>
    <w:rsid w:val="622961AF"/>
    <w:rsid w:val="63E61662"/>
    <w:rsid w:val="67864916"/>
    <w:rsid w:val="6A0F5AAA"/>
    <w:rsid w:val="6BE80D58"/>
    <w:rsid w:val="6DFF8CCB"/>
    <w:rsid w:val="6EC31082"/>
    <w:rsid w:val="70F53190"/>
    <w:rsid w:val="726F6CC7"/>
    <w:rsid w:val="748C2320"/>
    <w:rsid w:val="7AB94F83"/>
    <w:rsid w:val="7B1E2C75"/>
    <w:rsid w:val="7C7A5492"/>
    <w:rsid w:val="BAA7113F"/>
    <w:rsid w:val="C3CE1ECD"/>
    <w:rsid w:val="F3FAD867"/>
    <w:rsid w:val="FF735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napToGrid w:val="0"/>
      <w:jc w:val="center"/>
      <w:outlineLvl w:val="0"/>
    </w:pPr>
    <w:rPr>
      <w:rFonts w:eastAsia="华文中宋"/>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页眉 字符"/>
    <w:basedOn w:val="8"/>
    <w:link w:val="5"/>
    <w:qFormat/>
    <w:uiPriority w:val="0"/>
    <w:rPr>
      <w:rFonts w:asciiTheme="minorHAnsi" w:hAnsiTheme="minorHAnsi" w:eastAsiaTheme="minorEastAsia" w:cstheme="minorBidi"/>
      <w:kern w:val="2"/>
      <w:sz w:val="18"/>
      <w:szCs w:val="18"/>
    </w:rPr>
  </w:style>
  <w:style w:type="character" w:customStyle="1" w:styleId="10">
    <w:name w:val="页脚 字符"/>
    <w:basedOn w:val="8"/>
    <w:link w:val="4"/>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1889</Words>
  <Characters>1936</Characters>
  <Lines>13</Lines>
  <Paragraphs>3</Paragraphs>
  <TotalTime>2</TotalTime>
  <ScaleCrop>false</ScaleCrop>
  <LinksUpToDate>false</LinksUpToDate>
  <CharactersWithSpaces>1941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2025-10-23T19:19:00Z</dcterms:created>
  <dc:creator>璇</dc:creator>
  <cp:lastModifiedBy>shane</cp:lastModifiedBy>
  <dcterms:modified xsi:type="dcterms:W3CDTF">2025-11-03T06:48:39Z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D3A116782AB74CF7AFC2DB2FF7F4BB94_13</vt:lpwstr>
  </property>
  <property fmtid="{D5CDD505-2E9C-101B-9397-08002B2CF9AE}" pid="4" name="KSOTemplateDocerSaveRecord">
    <vt:lpwstr>eyJoZGlkIjoiMjMzMzI5MzFiZjJjOWQwOTYyMDQwNTgxOTRkODYyYmIiLCJ1c2VySWQiOiI3OTg4MTUwNDIifQ==</vt:lpwstr>
  </property>
</Properties>
</file>