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2024年省级企业技术中心项目资金安排计划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（第二批）</w:t>
      </w:r>
    </w:p>
    <w:p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6405" cy="4154805"/>
            <wp:effectExtent l="0" t="0" r="17145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6405" cy="4154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颜楷简">
    <w:panose1 w:val="00020600040101010101"/>
    <w:charset w:val="86"/>
    <w:family w:val="auto"/>
    <w:pitch w:val="default"/>
    <w:sig w:usb0="800000EF" w:usb1="0A417C9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F5D157F"/>
    <w:rsid w:val="19766A09"/>
    <w:rsid w:val="1F4E5D32"/>
    <w:rsid w:val="221D486C"/>
    <w:rsid w:val="3DAE5EC2"/>
    <w:rsid w:val="4B125CE2"/>
    <w:rsid w:val="6500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2024-03-07T02:44:17Z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78C935212D144CCB8202203D2B4E66E5_12</vt:lpwstr>
  </property>
</Properties>
</file>