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666666"/>
          <w:spacing w:val="0"/>
          <w:sz w:val="24"/>
          <w:szCs w:val="24"/>
        </w:rPr>
      </w:pPr>
      <w:r>
        <w:rPr>
          <w:rStyle w:val="5"/>
          <w:rFonts w:hint="eastAsia" w:ascii="微软雅黑" w:hAnsi="微软雅黑" w:eastAsia="微软雅黑" w:cs="微软雅黑"/>
          <w:i w:val="0"/>
          <w:iCs w:val="0"/>
          <w:caps w:val="0"/>
          <w:color w:val="666666"/>
          <w:spacing w:val="0"/>
          <w:sz w:val="24"/>
          <w:szCs w:val="24"/>
          <w:bdr w:val="none" w:color="auto" w:sz="0" w:space="0"/>
          <w:shd w:val="clear" w:fill="FFFFFF"/>
        </w:rPr>
        <w:t>2023年一、二季度清洁能源利用激励（补贴）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微软雅黑" w:hAnsi="微软雅黑" w:eastAsia="微软雅黑" w:cs="微软雅黑"/>
          <w:i w:val="0"/>
          <w:iCs w:val="0"/>
          <w:caps w:val="0"/>
          <w:color w:val="666666"/>
          <w:spacing w:val="0"/>
          <w:sz w:val="24"/>
          <w:szCs w:val="24"/>
        </w:rPr>
      </w:pPr>
      <w:r>
        <w:rPr>
          <w:rStyle w:val="5"/>
          <w:rFonts w:hint="eastAsia" w:ascii="微软雅黑" w:hAnsi="微软雅黑" w:eastAsia="微软雅黑" w:cs="微软雅黑"/>
          <w:i w:val="0"/>
          <w:iCs w:val="0"/>
          <w:caps w:val="0"/>
          <w:color w:val="666666"/>
          <w:spacing w:val="0"/>
          <w:sz w:val="24"/>
          <w:szCs w:val="24"/>
          <w:bdr w:val="none" w:color="auto" w:sz="0" w:space="0"/>
          <w:shd w:val="clear" w:fill="FFFFFF"/>
        </w:rPr>
        <w:t>拟补贴情况表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666666"/>
          <w:spacing w:val="0"/>
          <w:sz w:val="24"/>
          <w:szCs w:val="24"/>
        </w:rPr>
      </w:pPr>
      <w:r>
        <w:rPr>
          <w:rStyle w:val="5"/>
          <w:rFonts w:hint="eastAsia" w:ascii="微软雅黑" w:hAnsi="微软雅黑" w:eastAsia="微软雅黑" w:cs="微软雅黑"/>
          <w:i w:val="0"/>
          <w:iCs w:val="0"/>
          <w:caps w:val="0"/>
          <w:color w:val="666666"/>
          <w:spacing w:val="0"/>
          <w:sz w:val="24"/>
          <w:szCs w:val="24"/>
          <w:bdr w:val="none" w:color="auto" w:sz="0" w:space="0"/>
          <w:shd w:val="clear" w:fill="FFFFFF"/>
        </w:rPr>
        <w:t>       政策规定:</w:t>
      </w:r>
      <w:r>
        <w:rPr>
          <w:rFonts w:hint="eastAsia" w:ascii="微软雅黑" w:hAnsi="微软雅黑" w:eastAsia="微软雅黑" w:cs="微软雅黑"/>
          <w:i w:val="0"/>
          <w:iCs w:val="0"/>
          <w:caps w:val="0"/>
          <w:color w:val="666666"/>
          <w:spacing w:val="0"/>
          <w:sz w:val="24"/>
          <w:szCs w:val="24"/>
          <w:bdr w:val="none" w:color="auto" w:sz="0" w:space="0"/>
          <w:shd w:val="clear" w:fill="FFFFFF"/>
        </w:rPr>
        <w:t>（一）注册登记地、税务征管关系及统计关系在黄埔区、广州开发区及其受托管理和下辖园区范围内，有健全的财务制度、具有独立法人资格、实行独立核算的规上工业企业，且为广州燃气集团有限公司、广州东永港华燃气有限公司在我区的规模以上中低压管道燃气工业用户，代输企业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二）企业合法使用管道天然气，且企业用气登记名称需与营业执照名称一致；依法生产、经营和管理，各项法定许可手续完善，一年内未因发生安全违法行为受到安全生产行政处罚且三年内未发生生产安全责任事故；一年内未因发生环境违法行为受到环境保护行政管理部门处罚且三年内未发生危害环境犯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（三）企业2023年一季度或二季度产值同比实现正增长。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666666"/>
          <w:spacing w:val="0"/>
          <w:sz w:val="24"/>
          <w:szCs w:val="24"/>
        </w:rPr>
      </w:pPr>
      <w:r>
        <w:rPr>
          <w:rStyle w:val="5"/>
          <w:rFonts w:hint="eastAsia" w:ascii="微软雅黑" w:hAnsi="微软雅黑" w:eastAsia="微软雅黑" w:cs="微软雅黑"/>
          <w:i w:val="0"/>
          <w:iCs w:val="0"/>
          <w:caps w:val="0"/>
          <w:color w:val="666666"/>
          <w:spacing w:val="0"/>
          <w:sz w:val="24"/>
          <w:szCs w:val="24"/>
          <w:bdr w:val="none" w:color="auto" w:sz="0" w:space="0"/>
          <w:shd w:val="clear" w:fill="FFFFFF"/>
        </w:rPr>
        <w:t>       补贴标准：</w:t>
      </w:r>
      <w:r>
        <w:rPr>
          <w:rFonts w:hint="eastAsia" w:ascii="微软雅黑" w:hAnsi="微软雅黑" w:eastAsia="微软雅黑" w:cs="微软雅黑"/>
          <w:i w:val="0"/>
          <w:iCs w:val="0"/>
          <w:caps w:val="0"/>
          <w:color w:val="666666"/>
          <w:spacing w:val="0"/>
          <w:sz w:val="24"/>
          <w:szCs w:val="24"/>
          <w:bdr w:val="none" w:color="auto" w:sz="0" w:space="0"/>
          <w:shd w:val="clear" w:fill="FFFFFF"/>
        </w:rPr>
        <w:t>（一）对2023年一季度、二季度产值实现同比正增长，但增长未达到3%的规上工业企业，分季度给予一定天然气价格激励。补贴标准按照当季度企业天然气用量，以实际价格与常规期间天然气价格（3.95元/立方米）差价的25%给予资金激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二）对2023年一季度、二季度产值同比增长达到3%以上（含3%）的规上工业企业，分季度给予一定天然气价格激励。补贴标准按照当季度企业天然气用量，以实际价格与常规期间天然气价格（3.95元/立方米）差价的50%给予资金激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666666"/>
          <w:spacing w:val="0"/>
          <w:sz w:val="24"/>
          <w:szCs w:val="24"/>
        </w:rPr>
      </w:pPr>
      <w:r>
        <w:rPr>
          <w:rFonts w:hint="eastAsia" w:ascii="微软雅黑" w:hAnsi="微软雅黑" w:eastAsia="微软雅黑" w:cs="微软雅黑"/>
          <w:i w:val="0"/>
          <w:iCs w:val="0"/>
          <w:caps w:val="0"/>
          <w:color w:val="666666"/>
          <w:spacing w:val="0"/>
          <w:sz w:val="24"/>
          <w:szCs w:val="24"/>
          <w:bdr w:val="none" w:color="auto" w:sz="0" w:space="0"/>
          <w:shd w:val="clear" w:fill="FFFFFF"/>
        </w:rPr>
        <w:t>       （三）对2023年一季度、二季度产值同比增长达到8%以上（含8%）的规上工业企业，分季度给予一定天然气价格激励。补贴标准按照当季度企业天然气用量，以实际价格与常规期间天然气价格（3.95元/立方米）差价的100%给予资金激励。</w:t>
      </w:r>
    </w:p>
    <w:tbl>
      <w:tblPr>
        <w:tblW w:w="4998" w:type="pct"/>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04"/>
        <w:gridCol w:w="2122"/>
        <w:gridCol w:w="1141"/>
        <w:gridCol w:w="1081"/>
        <w:gridCol w:w="1841"/>
        <w:gridCol w:w="182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序号</w:t>
            </w:r>
          </w:p>
        </w:tc>
        <w:tc>
          <w:tcPr>
            <w:tcW w:w="1246"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企业名称</w:t>
            </w:r>
          </w:p>
        </w:tc>
        <w:tc>
          <w:tcPr>
            <w:tcW w:w="670"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环境守法情况</w:t>
            </w:r>
          </w:p>
        </w:tc>
        <w:tc>
          <w:tcPr>
            <w:tcW w:w="6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安全生产情况</w:t>
            </w:r>
          </w:p>
        </w:tc>
        <w:tc>
          <w:tcPr>
            <w:tcW w:w="2152" w:type="pct"/>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拟补贴金额（元）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rPr>
                <w:rFonts w:hint="eastAsia" w:ascii="微软雅黑" w:hAnsi="微软雅黑" w:eastAsia="微软雅黑" w:cs="微软雅黑"/>
                <w:i w:val="0"/>
                <w:iCs w:val="0"/>
                <w:caps w:val="0"/>
                <w:color w:val="666666"/>
                <w:spacing w:val="0"/>
                <w:sz w:val="24"/>
                <w:szCs w:val="24"/>
              </w:rPr>
            </w:pPr>
          </w:p>
        </w:tc>
        <w:tc>
          <w:tcPr>
            <w:tcW w:w="124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rPr>
                <w:rFonts w:hint="eastAsia" w:ascii="微软雅黑" w:hAnsi="微软雅黑" w:eastAsia="微软雅黑" w:cs="微软雅黑"/>
                <w:i w:val="0"/>
                <w:iCs w:val="0"/>
                <w:caps w:val="0"/>
                <w:color w:val="666666"/>
                <w:spacing w:val="0"/>
                <w:sz w:val="24"/>
                <w:szCs w:val="24"/>
              </w:rPr>
            </w:pPr>
          </w:p>
        </w:tc>
        <w:tc>
          <w:tcPr>
            <w:tcW w:w="6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rPr>
                <w:rFonts w:hint="eastAsia" w:ascii="微软雅黑" w:hAnsi="微软雅黑" w:eastAsia="微软雅黑" w:cs="微软雅黑"/>
                <w:i w:val="0"/>
                <w:iCs w:val="0"/>
                <w:caps w:val="0"/>
                <w:color w:val="666666"/>
                <w:spacing w:val="0"/>
                <w:sz w:val="24"/>
                <w:szCs w:val="24"/>
              </w:rPr>
            </w:pPr>
          </w:p>
        </w:tc>
        <w:tc>
          <w:tcPr>
            <w:tcW w:w="6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rPr>
                <w:rFonts w:hint="eastAsia" w:ascii="微软雅黑" w:hAnsi="微软雅黑" w:eastAsia="微软雅黑" w:cs="微软雅黑"/>
                <w:i w:val="0"/>
                <w:iCs w:val="0"/>
                <w:caps w:val="0"/>
                <w:color w:val="666666"/>
                <w:spacing w:val="0"/>
                <w:sz w:val="24"/>
                <w:szCs w:val="24"/>
              </w:rPr>
            </w:pP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申请</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核定</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广州星业科技股份有限公司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307890.17</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291296.69</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广东太古可口可乐有限公司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166816.33</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173752.15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科城精铜（广州）有限公司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1000000.00</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1000000.00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4</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广东天海花边有限公司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211953.95</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205161.29</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东马（广州保税区）油脂化工有限公司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382931.50</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382931.50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广州荣鑫容器有限公司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175264.00</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208501.15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7</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广州市香雪制药股份有限公司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179091.96</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143153.21</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8</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广州经济技术开发区卜威工业有限公司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199777.09</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221509.60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9</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广东粤微食用菌技术有限公司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23941.25</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22167.93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10</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广州喜谷食品有限公司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9002.50</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7838.03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11</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康方药业有限公司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71072.30</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71072.30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12</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石药集团明复乐药业（广州）有限公司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103117.55</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90731.99</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13</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广州环亚化妆品科技股份有限公司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60527.63</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57798.00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14</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广州兴森快捷电路科技有限公司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171323.75</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154604.65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15</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广州埃尔夫润滑油有限公司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11689.60</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11689.60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16</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广州冷冻食品有限公司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64655.00</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50385.72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17</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费森尤斯卡比（广州）医疗用品有限公司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133909.10</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134992.62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18</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广州弘亚数控机械股份有限公司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102781.11</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99251.75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19</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广州阿雷斯提汽车配件有限公司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333167.90</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327903.92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9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20</w:t>
            </w:r>
          </w:p>
        </w:tc>
        <w:tc>
          <w:tcPr>
            <w:tcW w:w="1246"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广州高昌机电股份有限公司</w:t>
            </w:r>
          </w:p>
        </w:tc>
        <w:tc>
          <w:tcPr>
            <w:tcW w:w="6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63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符合</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31170.98</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33852.01</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0" w:type="dxa"/>
            <w:left w:w="0" w:type="dxa"/>
            <w:bottom w:w="0" w:type="dxa"/>
            <w:right w:w="0" w:type="dxa"/>
          </w:tblCellMar>
        </w:tblPrEx>
        <w:tc>
          <w:tcPr>
            <w:tcW w:w="2847" w:type="pct"/>
            <w:gridSpan w:val="4"/>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合计</w:t>
            </w:r>
          </w:p>
        </w:tc>
        <w:tc>
          <w:tcPr>
            <w:tcW w:w="108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3740083.67</w:t>
            </w:r>
          </w:p>
        </w:tc>
        <w:tc>
          <w:tcPr>
            <w:tcW w:w="107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left"/>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4"/>
                <w:szCs w:val="24"/>
                <w:bdr w:val="none" w:color="auto" w:sz="0" w:space="0"/>
              </w:rPr>
              <w:t>3688594.11</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666666"/>
          <w:spacing w:val="0"/>
          <w:sz w:val="24"/>
          <w:szCs w:val="24"/>
        </w:rPr>
      </w:pPr>
      <w:r>
        <w:rPr>
          <w:rStyle w:val="5"/>
          <w:rFonts w:hint="eastAsia" w:ascii="微软雅黑" w:hAnsi="微软雅黑" w:eastAsia="微软雅黑" w:cs="微软雅黑"/>
          <w:i w:val="0"/>
          <w:iCs w:val="0"/>
          <w:caps w:val="0"/>
          <w:color w:val="666666"/>
          <w:spacing w:val="0"/>
          <w:sz w:val="24"/>
          <w:szCs w:val="24"/>
          <w:bdr w:val="none" w:color="auto" w:sz="0" w:space="0"/>
          <w:shd w:val="clear" w:fill="FFFFFF"/>
        </w:rPr>
        <w:t>补贴金额核定说明：</w:t>
      </w:r>
      <w:r>
        <w:rPr>
          <w:rFonts w:hint="eastAsia" w:ascii="微软雅黑" w:hAnsi="微软雅黑" w:eastAsia="微软雅黑" w:cs="微软雅黑"/>
          <w:i w:val="0"/>
          <w:iCs w:val="0"/>
          <w:caps w:val="0"/>
          <w:color w:val="666666"/>
          <w:spacing w:val="0"/>
          <w:sz w:val="24"/>
          <w:szCs w:val="24"/>
          <w:bdr w:val="none" w:color="auto" w:sz="0" w:space="0"/>
          <w:shd w:val="clear" w:fill="FFFFFF"/>
        </w:rPr>
        <w:t>《方案》补贴时间范围为2023年一季度（1-3月）、二季度（4-6月），因燃气公司每次抄表日期不定，单次抄表记录的用气量存在跨月的情况，故按平均法剔除超出补贴时间范围的用气量；用气量扣除食堂（厨房）燃气表气量，在此基础上核定补贴金额。</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06D61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2023-12-18T07:19:31Z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CC20E5300BA146A396BDFCCD6676A6B2_12</vt:lpwstr>
  </property>
</Properties>
</file>